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84C3C" w14:textId="4F697478" w:rsidR="00D074A9" w:rsidRPr="006D1AC1" w:rsidRDefault="00DC72BA" w:rsidP="00D074A9">
      <w:pPr>
        <w:spacing w:after="0"/>
        <w:jc w:val="center"/>
        <w:rPr>
          <w:b/>
          <w:bCs/>
          <w:caps/>
        </w:rPr>
      </w:pPr>
      <w:bookmarkStart w:id="0" w:name="lt_pId001"/>
      <w:r w:rsidRPr="006D1AC1">
        <w:rPr>
          <w:b/>
          <w:bCs/>
          <w:caps/>
        </w:rPr>
        <w:t>D</w:t>
      </w:r>
      <w:r w:rsidR="00001696" w:rsidRPr="006D1AC1">
        <w:rPr>
          <w:b/>
          <w:bCs/>
          <w:caps/>
        </w:rPr>
        <w:t>É</w:t>
      </w:r>
      <w:r w:rsidRPr="006D1AC1">
        <w:rPr>
          <w:b/>
          <w:bCs/>
          <w:caps/>
        </w:rPr>
        <w:t>finition recommand</w:t>
      </w:r>
      <w:r w:rsidR="00001696" w:rsidRPr="006D1AC1">
        <w:rPr>
          <w:b/>
          <w:bCs/>
          <w:caps/>
        </w:rPr>
        <w:t>É</w:t>
      </w:r>
      <w:r w:rsidRPr="006D1AC1">
        <w:rPr>
          <w:b/>
          <w:bCs/>
          <w:caps/>
        </w:rPr>
        <w:t xml:space="preserve">e de </w:t>
      </w:r>
      <w:r w:rsidR="00513C05" w:rsidRPr="006D1AC1">
        <w:rPr>
          <w:b/>
          <w:bCs/>
          <w:caps/>
        </w:rPr>
        <w:t>c</w:t>
      </w:r>
      <w:r w:rsidRPr="006D1AC1">
        <w:rPr>
          <w:b/>
          <w:bCs/>
          <w:caps/>
        </w:rPr>
        <w:t>ollectivit</w:t>
      </w:r>
      <w:r w:rsidR="00001696" w:rsidRPr="006D1AC1">
        <w:rPr>
          <w:b/>
          <w:bCs/>
          <w:caps/>
        </w:rPr>
        <w:t>É</w:t>
      </w:r>
      <w:r w:rsidRPr="006D1AC1">
        <w:rPr>
          <w:b/>
          <w:bCs/>
          <w:caps/>
        </w:rPr>
        <w:t>s isol</w:t>
      </w:r>
      <w:r w:rsidR="00001696" w:rsidRPr="006D1AC1">
        <w:rPr>
          <w:b/>
          <w:bCs/>
          <w:caps/>
        </w:rPr>
        <w:t>É</w:t>
      </w:r>
      <w:r w:rsidRPr="006D1AC1">
        <w:rPr>
          <w:b/>
          <w:bCs/>
          <w:caps/>
        </w:rPr>
        <w:t xml:space="preserve">es et </w:t>
      </w:r>
      <w:r w:rsidR="00001696" w:rsidRPr="006D1AC1">
        <w:rPr>
          <w:b/>
          <w:bCs/>
          <w:caps/>
        </w:rPr>
        <w:t>É</w:t>
      </w:r>
      <w:r w:rsidRPr="006D1AC1">
        <w:rPr>
          <w:b/>
          <w:bCs/>
          <w:caps/>
        </w:rPr>
        <w:t>loign</w:t>
      </w:r>
      <w:r w:rsidR="00001696" w:rsidRPr="006D1AC1">
        <w:rPr>
          <w:b/>
          <w:bCs/>
          <w:caps/>
        </w:rPr>
        <w:t>É</w:t>
      </w:r>
      <w:r w:rsidRPr="006D1AC1">
        <w:rPr>
          <w:b/>
          <w:bCs/>
          <w:caps/>
        </w:rPr>
        <w:t>es</w:t>
      </w:r>
      <w:bookmarkEnd w:id="0"/>
    </w:p>
    <w:p w14:paraId="65617AC5" w14:textId="77777777" w:rsidR="003A40CF" w:rsidRPr="006D1AC1" w:rsidRDefault="003A40CF" w:rsidP="002F4BD1">
      <w:pPr>
        <w:spacing w:after="0"/>
      </w:pPr>
    </w:p>
    <w:p w14:paraId="67AFCCFA" w14:textId="5A2DB32E" w:rsidR="008A3B84" w:rsidRPr="006D1AC1" w:rsidRDefault="00537B88" w:rsidP="00192CC9">
      <w:pPr>
        <w:spacing w:after="0"/>
      </w:pPr>
      <w:bookmarkStart w:id="1" w:name="lt_pId002"/>
      <w:r w:rsidRPr="006D1AC1">
        <w:t xml:space="preserve">Les membres du Groupe de travail sur la santé publique dans les collectivités éloignées et isolées </w:t>
      </w:r>
      <w:r w:rsidR="00001696" w:rsidRPr="006D1AC1">
        <w:t xml:space="preserve">recommandent </w:t>
      </w:r>
      <w:r w:rsidRPr="006D1AC1">
        <w:t xml:space="preserve">d’utiliser la définition citée par le </w:t>
      </w:r>
      <w:r w:rsidRPr="006D1AC1">
        <w:rPr>
          <w:b/>
          <w:bCs/>
          <w:i/>
          <w:iCs/>
        </w:rPr>
        <w:t>Groupe de travail sur les collectivités éloignées et isolées du Groupe de travail sur la grippe</w:t>
      </w:r>
      <w:r w:rsidR="00BD0775" w:rsidRPr="006D1AC1">
        <w:rPr>
          <w:b/>
          <w:bCs/>
          <w:i/>
          <w:iCs/>
        </w:rPr>
        <w:t> </w:t>
      </w:r>
      <w:r w:rsidRPr="006D1AC1">
        <w:rPr>
          <w:b/>
          <w:bCs/>
          <w:i/>
          <w:iCs/>
        </w:rPr>
        <w:t xml:space="preserve">H1N1 du Réseau de santé publique </w:t>
      </w:r>
      <w:r w:rsidRPr="006D1AC1">
        <w:t xml:space="preserve">en 2009 en </w:t>
      </w:r>
      <w:r w:rsidR="00001696" w:rsidRPr="006D1AC1">
        <w:t>accordant</w:t>
      </w:r>
      <w:r w:rsidR="00001696" w:rsidRPr="00EB70CC">
        <w:t xml:space="preserve"> </w:t>
      </w:r>
      <w:r w:rsidR="00001696" w:rsidRPr="006D1AC1">
        <w:t>une attention supplémentaire</w:t>
      </w:r>
      <w:r w:rsidR="00001696" w:rsidRPr="00EB70CC">
        <w:rPr>
          <w:rFonts w:ascii="Arial" w:hAnsi="Arial" w:cs="Arial"/>
          <w:color w:val="242424"/>
          <w:sz w:val="18"/>
          <w:szCs w:val="18"/>
          <w:shd w:val="clear" w:color="auto" w:fill="FFFEEF"/>
        </w:rPr>
        <w:t xml:space="preserve"> aux</w:t>
      </w:r>
      <w:r w:rsidRPr="006D1AC1">
        <w:t xml:space="preserve"> circonstances particulières </w:t>
      </w:r>
      <w:r w:rsidR="00001696" w:rsidRPr="006D1AC1">
        <w:t>liées</w:t>
      </w:r>
      <w:r w:rsidR="00001696" w:rsidRPr="00EB70CC">
        <w:t xml:space="preserve"> à d’autres </w:t>
      </w:r>
      <w:r w:rsidR="00001696" w:rsidRPr="006D1AC1">
        <w:t xml:space="preserve">facteurs de risque, notamment l’isolement social et les déterminants sociaux de la santé, qui influent sur les résultats pour la santé des populations </w:t>
      </w:r>
      <w:r w:rsidR="00EB70CC" w:rsidRPr="00EB70CC">
        <w:t>autochtones. Par</w:t>
      </w:r>
      <w:r w:rsidR="00001696" w:rsidRPr="006D1AC1">
        <w:t xml:space="preserve"> conséquent</w:t>
      </w:r>
      <w:r w:rsidR="000329A9" w:rsidRPr="006D1AC1">
        <w:t>,</w:t>
      </w:r>
      <w:r w:rsidRPr="006D1AC1">
        <w:t xml:space="preserve"> certaines collectivités </w:t>
      </w:r>
      <w:r w:rsidR="000329A9" w:rsidRPr="006D1AC1">
        <w:t>qui n’entrent pas dans le cadre de compréhension géographique de</w:t>
      </w:r>
      <w:r w:rsidRPr="006D1AC1">
        <w:t xml:space="preserve"> </w:t>
      </w:r>
      <w:r w:rsidR="000329A9" w:rsidRPr="006D1AC1">
        <w:t>collectivités éloignées et isolées</w:t>
      </w:r>
      <w:r w:rsidRPr="006D1AC1">
        <w:t xml:space="preserve">, </w:t>
      </w:r>
      <w:r w:rsidR="000329A9" w:rsidRPr="006D1AC1">
        <w:t>doivent quand même être considérées</w:t>
      </w:r>
      <w:r w:rsidRPr="006D1AC1">
        <w:t xml:space="preserve"> </w:t>
      </w:r>
      <w:r w:rsidR="000329A9" w:rsidRPr="006D1AC1">
        <w:t>comme</w:t>
      </w:r>
      <w:r w:rsidRPr="006D1AC1">
        <w:t xml:space="preserve"> rel</w:t>
      </w:r>
      <w:r w:rsidR="000329A9" w:rsidRPr="006D1AC1">
        <w:t>evant</w:t>
      </w:r>
      <w:r w:rsidRPr="006D1AC1">
        <w:t xml:space="preserve"> </w:t>
      </w:r>
      <w:r w:rsidR="00560E4E" w:rsidRPr="006D1AC1">
        <w:t xml:space="preserve">du champ d’application </w:t>
      </w:r>
      <w:r w:rsidR="00EB70CC" w:rsidRPr="00EB70CC">
        <w:t>de</w:t>
      </w:r>
      <w:r w:rsidR="000329A9" w:rsidRPr="006D1AC1">
        <w:t xml:space="preserve"> cette définition</w:t>
      </w:r>
      <w:r w:rsidRPr="006D1AC1">
        <w:t>.</w:t>
      </w:r>
      <w:bookmarkEnd w:id="1"/>
    </w:p>
    <w:p w14:paraId="5E5784DC" w14:textId="77777777" w:rsidR="008A3B84" w:rsidRPr="006D1AC1" w:rsidRDefault="008A3B84" w:rsidP="00192CC9">
      <w:pPr>
        <w:spacing w:after="0"/>
      </w:pPr>
    </w:p>
    <w:p w14:paraId="5E90D74B" w14:textId="64D1BC48" w:rsidR="008A3B84" w:rsidRPr="006D1AC1" w:rsidRDefault="00537B88" w:rsidP="00192CC9">
      <w:pPr>
        <w:spacing w:after="0"/>
      </w:pPr>
      <w:bookmarkStart w:id="2" w:name="lt_pId003"/>
      <w:r w:rsidRPr="006D1AC1">
        <w:t xml:space="preserve">La définition ci-dessous reflète </w:t>
      </w:r>
      <w:r w:rsidR="001F0339" w:rsidRPr="006D1AC1">
        <w:t xml:space="preserve">aussi </w:t>
      </w:r>
      <w:r w:rsidRPr="006D1AC1">
        <w:t>la volonté des collectivités inuites d</w:t>
      </w:r>
      <w:r w:rsidR="00BD0775" w:rsidRPr="006D1AC1">
        <w:t>’</w:t>
      </w:r>
      <w:r w:rsidRPr="006D1AC1">
        <w:t>être définies comme Inuit Nunangat, et non comme des collectivités éloignées et isolées, de respecter la langue et la culture uniques des régions inuites.</w:t>
      </w:r>
      <w:bookmarkEnd w:id="2"/>
    </w:p>
    <w:p w14:paraId="75A03D3F" w14:textId="77777777" w:rsidR="009E024D" w:rsidRPr="006D1AC1" w:rsidRDefault="009E024D" w:rsidP="00192CC9">
      <w:pPr>
        <w:spacing w:after="0"/>
      </w:pPr>
    </w:p>
    <w:p w14:paraId="2B538858" w14:textId="77777777" w:rsidR="005F47A4" w:rsidRPr="006D1AC1" w:rsidRDefault="005F47A4" w:rsidP="00192CC9">
      <w:pPr>
        <w:spacing w:after="0"/>
      </w:pPr>
    </w:p>
    <w:p w14:paraId="2F3D7C61" w14:textId="3EA7A322" w:rsidR="009E024D" w:rsidRPr="006D1AC1" w:rsidRDefault="00537B88" w:rsidP="009E024D">
      <w:pPr>
        <w:spacing w:after="0"/>
        <w:jc w:val="center"/>
        <w:rPr>
          <w:b/>
          <w:caps/>
          <w:u w:val="single"/>
        </w:rPr>
      </w:pPr>
      <w:bookmarkStart w:id="3" w:name="lt_pId005"/>
      <w:r w:rsidRPr="006D1AC1">
        <w:rPr>
          <w:b/>
          <w:caps/>
          <w:u w:val="single"/>
        </w:rPr>
        <w:t>D</w:t>
      </w:r>
      <w:r w:rsidR="001F0339" w:rsidRPr="006D1AC1">
        <w:rPr>
          <w:b/>
          <w:caps/>
          <w:u w:val="single"/>
        </w:rPr>
        <w:t>É</w:t>
      </w:r>
      <w:r w:rsidRPr="006D1AC1">
        <w:rPr>
          <w:b/>
          <w:caps/>
          <w:u w:val="single"/>
        </w:rPr>
        <w:t xml:space="preserve">finition </w:t>
      </w:r>
      <w:r w:rsidR="001F0339" w:rsidRPr="006D1AC1">
        <w:rPr>
          <w:b/>
          <w:caps/>
          <w:u w:val="single"/>
        </w:rPr>
        <w:t xml:space="preserve">recommandÉe </w:t>
      </w:r>
      <w:r w:rsidRPr="006D1AC1">
        <w:rPr>
          <w:b/>
          <w:caps/>
          <w:u w:val="single"/>
        </w:rPr>
        <w:t>de collectivit</w:t>
      </w:r>
      <w:r w:rsidR="001F0339" w:rsidRPr="006D1AC1">
        <w:rPr>
          <w:b/>
          <w:caps/>
          <w:u w:val="single"/>
        </w:rPr>
        <w:t>É</w:t>
      </w:r>
      <w:r w:rsidRPr="006D1AC1">
        <w:rPr>
          <w:b/>
          <w:caps/>
          <w:u w:val="single"/>
        </w:rPr>
        <w:t xml:space="preserve">s autochtones </w:t>
      </w:r>
      <w:r w:rsidR="001F0339" w:rsidRPr="006D1AC1">
        <w:rPr>
          <w:b/>
          <w:caps/>
          <w:u w:val="single"/>
        </w:rPr>
        <w:t>É</w:t>
      </w:r>
      <w:r w:rsidRPr="006D1AC1">
        <w:rPr>
          <w:b/>
          <w:caps/>
          <w:u w:val="single"/>
        </w:rPr>
        <w:t>loign</w:t>
      </w:r>
      <w:r w:rsidR="001F0339" w:rsidRPr="006D1AC1">
        <w:rPr>
          <w:b/>
          <w:caps/>
          <w:u w:val="single"/>
        </w:rPr>
        <w:t>É</w:t>
      </w:r>
      <w:r w:rsidRPr="006D1AC1">
        <w:rPr>
          <w:b/>
          <w:caps/>
          <w:u w:val="single"/>
        </w:rPr>
        <w:t>es et isol</w:t>
      </w:r>
      <w:r w:rsidR="001F0339" w:rsidRPr="006D1AC1">
        <w:rPr>
          <w:b/>
          <w:caps/>
          <w:u w:val="single"/>
        </w:rPr>
        <w:t>É</w:t>
      </w:r>
      <w:r w:rsidRPr="006D1AC1">
        <w:rPr>
          <w:b/>
          <w:caps/>
          <w:u w:val="single"/>
        </w:rPr>
        <w:t>es</w:t>
      </w:r>
      <w:bookmarkEnd w:id="3"/>
    </w:p>
    <w:p w14:paraId="64D94E8E" w14:textId="77777777" w:rsidR="001B6E39" w:rsidRPr="006D1AC1" w:rsidRDefault="001B6E39" w:rsidP="00A53923">
      <w:pPr>
        <w:spacing w:after="0"/>
        <w:jc w:val="center"/>
      </w:pPr>
    </w:p>
    <w:p w14:paraId="6DC5B41C" w14:textId="19386D2B" w:rsidR="009E024D" w:rsidRPr="006D1AC1" w:rsidRDefault="00537B88" w:rsidP="009E024D">
      <w:pPr>
        <w:spacing w:after="0"/>
        <w:rPr>
          <w:b/>
        </w:rPr>
      </w:pPr>
      <w:bookmarkStart w:id="4" w:name="lt_pId006"/>
      <w:r w:rsidRPr="006D1AC1">
        <w:rPr>
          <w:b/>
        </w:rPr>
        <w:t>Pour les collectivités des Premières nations et des Métis</w:t>
      </w:r>
      <w:r w:rsidR="00BD0775" w:rsidRPr="006D1AC1">
        <w:rPr>
          <w:b/>
        </w:rPr>
        <w:t> </w:t>
      </w:r>
      <w:r w:rsidRPr="006D1AC1">
        <w:rPr>
          <w:b/>
        </w:rPr>
        <w:t>:</w:t>
      </w:r>
      <w:bookmarkEnd w:id="4"/>
    </w:p>
    <w:p w14:paraId="549B8A16" w14:textId="77777777" w:rsidR="009E024D" w:rsidRPr="006D1AC1" w:rsidRDefault="009E024D" w:rsidP="009E024D">
      <w:pPr>
        <w:spacing w:after="0"/>
      </w:pPr>
    </w:p>
    <w:p w14:paraId="6E0D47D4" w14:textId="6B9F38A5" w:rsidR="009E024D" w:rsidRPr="006D1AC1" w:rsidRDefault="006B7769" w:rsidP="009E024D">
      <w:pPr>
        <w:numPr>
          <w:ilvl w:val="0"/>
          <w:numId w:val="1"/>
        </w:numPr>
        <w:spacing w:after="0"/>
      </w:pPr>
      <w:bookmarkStart w:id="5" w:name="lt_pId007"/>
      <w:r w:rsidRPr="006D1AC1">
        <w:t>Le terme « </w:t>
      </w:r>
      <w:r w:rsidRPr="006D1AC1">
        <w:rPr>
          <w:b/>
          <w:bCs/>
          <w:u w:val="single"/>
        </w:rPr>
        <w:t>éloigné</w:t>
      </w:r>
      <w:r w:rsidRPr="006D1AC1">
        <w:t> » désigne une région géographique où une collectivité est située à plus de 350</w:t>
      </w:r>
      <w:r w:rsidR="00BD0775" w:rsidRPr="006D1AC1">
        <w:t> </w:t>
      </w:r>
      <w:r w:rsidRPr="006D1AC1">
        <w:t>km du centre de service le plus proch</w:t>
      </w:r>
      <w:r w:rsidR="00537B88" w:rsidRPr="006D1AC1">
        <w:t>e</w:t>
      </w:r>
      <w:r w:rsidR="00537B88" w:rsidRPr="006D1AC1">
        <w:rPr>
          <w:vertAlign w:val="superscript"/>
        </w:rPr>
        <w:t>1</w:t>
      </w:r>
      <w:r w:rsidR="00537B88" w:rsidRPr="006D1AC1">
        <w:t xml:space="preserve"> </w:t>
      </w:r>
      <w:r w:rsidRPr="006D1AC1">
        <w:t>et qui est accessible toute l’année par voie terrestre ou maritime normalement utilisée dans toutes les conditions</w:t>
      </w:r>
      <w:r w:rsidR="00EB70CC">
        <w:t> </w:t>
      </w:r>
      <w:r w:rsidRPr="006D1AC1">
        <w:t>météorologiques</w:t>
      </w:r>
      <w:r w:rsidR="00537B88" w:rsidRPr="006D1AC1">
        <w:rPr>
          <w:vertAlign w:val="superscript"/>
        </w:rPr>
        <w:t>2</w:t>
      </w:r>
      <w:r w:rsidR="00537B88" w:rsidRPr="006D1AC1">
        <w:t>.</w:t>
      </w:r>
      <w:bookmarkEnd w:id="5"/>
    </w:p>
    <w:p w14:paraId="0E89880E" w14:textId="77777777" w:rsidR="009E024D" w:rsidRPr="006D1AC1" w:rsidRDefault="009E024D" w:rsidP="009E024D">
      <w:pPr>
        <w:spacing w:after="0"/>
        <w:ind w:left="720"/>
      </w:pPr>
    </w:p>
    <w:p w14:paraId="4D353443" w14:textId="5DC21B89" w:rsidR="009E024D" w:rsidRPr="006D1AC1" w:rsidRDefault="006B7769" w:rsidP="009E024D">
      <w:pPr>
        <w:numPr>
          <w:ilvl w:val="0"/>
          <w:numId w:val="1"/>
        </w:numPr>
        <w:spacing w:after="0"/>
      </w:pPr>
      <w:bookmarkStart w:id="6" w:name="lt_pId008"/>
      <w:r w:rsidRPr="006D1AC1">
        <w:rPr>
          <w:bCs/>
        </w:rPr>
        <w:t>Le terme «</w:t>
      </w:r>
      <w:r w:rsidR="00BD0775" w:rsidRPr="006D1AC1">
        <w:rPr>
          <w:bCs/>
        </w:rPr>
        <w:t> </w:t>
      </w:r>
      <w:r w:rsidRPr="006D1AC1">
        <w:rPr>
          <w:b/>
          <w:u w:val="single"/>
        </w:rPr>
        <w:t>isolé</w:t>
      </w:r>
      <w:r w:rsidR="00BD0775" w:rsidRPr="006D1AC1">
        <w:rPr>
          <w:bCs/>
        </w:rPr>
        <w:t> </w:t>
      </w:r>
      <w:r w:rsidRPr="006D1AC1">
        <w:rPr>
          <w:bCs/>
        </w:rPr>
        <w:t>» désigne une région géographique qui a des vols réguliers et un bon service téléphonique, mais qui n</w:t>
      </w:r>
      <w:r w:rsidR="00BD0775" w:rsidRPr="006D1AC1">
        <w:rPr>
          <w:bCs/>
        </w:rPr>
        <w:t>’</w:t>
      </w:r>
      <w:r w:rsidRPr="006D1AC1">
        <w:rPr>
          <w:bCs/>
        </w:rPr>
        <w:t>a pas accès à l</w:t>
      </w:r>
      <w:r w:rsidR="00BD0775" w:rsidRPr="006D1AC1">
        <w:rPr>
          <w:bCs/>
        </w:rPr>
        <w:t>’</w:t>
      </w:r>
      <w:r w:rsidRPr="006D1AC1">
        <w:rPr>
          <w:bCs/>
        </w:rPr>
        <w:t xml:space="preserve">année par voie terrestre et/ou </w:t>
      </w:r>
      <w:r w:rsidR="00560E4E" w:rsidRPr="006D1AC1">
        <w:t xml:space="preserve">maritime </w:t>
      </w:r>
      <w:r w:rsidRPr="006D1AC1">
        <w:rPr>
          <w:bCs/>
        </w:rPr>
        <w:t>normalement utilisée dans toutes les conditions</w:t>
      </w:r>
      <w:r w:rsidR="00EB70CC">
        <w:rPr>
          <w:bCs/>
        </w:rPr>
        <w:t> </w:t>
      </w:r>
      <w:r w:rsidRPr="006D1AC1">
        <w:rPr>
          <w:bCs/>
        </w:rPr>
        <w:t>météorologiques</w:t>
      </w:r>
      <w:r w:rsidR="00537B88" w:rsidRPr="006D1AC1">
        <w:rPr>
          <w:bCs/>
          <w:vertAlign w:val="superscript"/>
        </w:rPr>
        <w:t>2</w:t>
      </w:r>
      <w:r w:rsidR="00537B88" w:rsidRPr="006D1AC1">
        <w:rPr>
          <w:vertAlign w:val="subscript"/>
        </w:rPr>
        <w:t>.</w:t>
      </w:r>
      <w:bookmarkEnd w:id="6"/>
    </w:p>
    <w:p w14:paraId="0D22CA81" w14:textId="77777777" w:rsidR="009E024D" w:rsidRPr="006D1AC1" w:rsidRDefault="009E024D" w:rsidP="009E024D">
      <w:pPr>
        <w:spacing w:after="0"/>
      </w:pPr>
    </w:p>
    <w:p w14:paraId="0ABF7A61" w14:textId="7D9BF2B2" w:rsidR="009E024D" w:rsidRPr="006D1AC1" w:rsidRDefault="006B7769" w:rsidP="009E024D">
      <w:pPr>
        <w:numPr>
          <w:ilvl w:val="0"/>
          <w:numId w:val="1"/>
        </w:numPr>
        <w:spacing w:after="0"/>
      </w:pPr>
      <w:bookmarkStart w:id="7" w:name="lt_pId009"/>
      <w:r w:rsidRPr="006D1AC1">
        <w:t>Le terme « </w:t>
      </w:r>
      <w:r w:rsidRPr="006D1AC1">
        <w:rPr>
          <w:b/>
          <w:bCs/>
          <w:u w:val="single"/>
        </w:rPr>
        <w:t>éloigné</w:t>
      </w:r>
      <w:r w:rsidR="0080212C" w:rsidRPr="006D1AC1">
        <w:rPr>
          <w:b/>
          <w:bCs/>
          <w:u w:val="single"/>
        </w:rPr>
        <w:t>-</w:t>
      </w:r>
      <w:r w:rsidRPr="006D1AC1">
        <w:rPr>
          <w:b/>
          <w:bCs/>
          <w:u w:val="single"/>
        </w:rPr>
        <w:t>isolé</w:t>
      </w:r>
      <w:r w:rsidRPr="006D1AC1">
        <w:t xml:space="preserve"> » désigne une région géographique qui n’a ni vols réguliers ni accès toute l’année </w:t>
      </w:r>
      <w:r w:rsidR="003812A3" w:rsidRPr="006D1AC1">
        <w:t xml:space="preserve">aux </w:t>
      </w:r>
      <w:r w:rsidRPr="006D1AC1">
        <w:t xml:space="preserve">routes terrestres et/ou maritimes </w:t>
      </w:r>
      <w:r w:rsidR="00544101" w:rsidRPr="006D1AC1">
        <w:t>pouvant être</w:t>
      </w:r>
      <w:r w:rsidRPr="006D1AC1">
        <w:t xml:space="preserve"> utilisées dans toutes les conditions</w:t>
      </w:r>
      <w:r w:rsidR="00EB70CC">
        <w:t> </w:t>
      </w:r>
      <w:r w:rsidRPr="006D1AC1">
        <w:t>météorologiques</w:t>
      </w:r>
      <w:r w:rsidRPr="006D1AC1">
        <w:rPr>
          <w:vertAlign w:val="superscript"/>
        </w:rPr>
        <w:t>2</w:t>
      </w:r>
      <w:r w:rsidRPr="006D1AC1">
        <w:t xml:space="preserve">, </w:t>
      </w:r>
      <w:r w:rsidR="00EB1E4F" w:rsidRPr="006D1AC1">
        <w:t>sans égard au</w:t>
      </w:r>
      <w:r w:rsidR="00DE4B1E" w:rsidRPr="006D1AC1">
        <w:t xml:space="preserve"> </w:t>
      </w:r>
      <w:r w:rsidR="00EB1E4F" w:rsidRPr="006D1AC1">
        <w:t>niveau de</w:t>
      </w:r>
      <w:r w:rsidRPr="006D1AC1">
        <w:t xml:space="preserve"> service téléphonique et radio </w:t>
      </w:r>
      <w:r w:rsidR="00EB1E4F" w:rsidRPr="006D1AC1">
        <w:t>disponible</w:t>
      </w:r>
      <w:r w:rsidRPr="006D1AC1">
        <w:t>.</w:t>
      </w:r>
      <w:bookmarkEnd w:id="7"/>
    </w:p>
    <w:p w14:paraId="6EC68199" w14:textId="77777777" w:rsidR="009E024D" w:rsidRPr="006D1AC1" w:rsidRDefault="009E024D" w:rsidP="009E024D">
      <w:pPr>
        <w:spacing w:after="0"/>
      </w:pPr>
    </w:p>
    <w:p w14:paraId="5066CAC9" w14:textId="2544834E" w:rsidR="009E024D" w:rsidRPr="006D1AC1" w:rsidRDefault="00537B88" w:rsidP="009E024D">
      <w:pPr>
        <w:spacing w:after="0"/>
        <w:ind w:left="360"/>
      </w:pPr>
      <w:bookmarkStart w:id="8" w:name="lt_pId010"/>
      <w:r w:rsidRPr="006D1AC1">
        <w:rPr>
          <w:vertAlign w:val="superscript"/>
        </w:rPr>
        <w:t>1</w:t>
      </w:r>
      <w:r w:rsidR="00BD0775" w:rsidRPr="006D1AC1">
        <w:rPr>
          <w:vertAlign w:val="superscript"/>
        </w:rPr>
        <w:t xml:space="preserve"> </w:t>
      </w:r>
      <w:r w:rsidR="00311071" w:rsidRPr="006D1AC1">
        <w:t>Dans le contexte de la santé, les centres de services se réfèrent aux services médicaux et de soins primaires, aux soins hospitaliers et préhospitaliers et aux autres services de santé nécessaires pour répondre aux besoins de santé de la collectivité.</w:t>
      </w:r>
      <w:bookmarkEnd w:id="8"/>
    </w:p>
    <w:p w14:paraId="127E52C5" w14:textId="77777777" w:rsidR="009E024D" w:rsidRPr="006D1AC1" w:rsidRDefault="009E024D" w:rsidP="009E024D">
      <w:pPr>
        <w:spacing w:after="0"/>
        <w:ind w:left="360"/>
      </w:pPr>
    </w:p>
    <w:p w14:paraId="133A0990" w14:textId="49759730" w:rsidR="009E024D" w:rsidRPr="006D1AC1" w:rsidRDefault="00537B88" w:rsidP="009E024D">
      <w:pPr>
        <w:spacing w:after="0"/>
        <w:ind w:left="360"/>
      </w:pPr>
      <w:r w:rsidRPr="006D1AC1">
        <w:rPr>
          <w:vertAlign w:val="superscript"/>
        </w:rPr>
        <w:t>2</w:t>
      </w:r>
      <w:r w:rsidRPr="006D1AC1">
        <w:t xml:space="preserve"> </w:t>
      </w:r>
      <w:bookmarkStart w:id="9" w:name="lt_pId012"/>
      <w:r w:rsidRPr="006D1AC1">
        <w:t>T</w:t>
      </w:r>
      <w:r w:rsidR="00660849" w:rsidRPr="006D1AC1">
        <w:t>enir compte des conditions météorologiques tout au long de l</w:t>
      </w:r>
      <w:r w:rsidR="00BD0775" w:rsidRPr="006D1AC1">
        <w:t>’</w:t>
      </w:r>
      <w:r w:rsidR="00660849" w:rsidRPr="006D1AC1">
        <w:t>année, y compris son incidence sur l</w:t>
      </w:r>
      <w:r w:rsidR="00BD0775" w:rsidRPr="006D1AC1">
        <w:t>’</w:t>
      </w:r>
      <w:r w:rsidR="00660849" w:rsidRPr="006D1AC1">
        <w:t xml:space="preserve">accessibilité à des moyens de communication fiables (téléphones cellulaires, radio et satellites) et les modes de transport (route, bateau-taxi, bateau, </w:t>
      </w:r>
      <w:r w:rsidR="00EC06F1" w:rsidRPr="006D1AC1">
        <w:t>traversier</w:t>
      </w:r>
      <w:r w:rsidR="00660849" w:rsidRPr="006D1AC1">
        <w:t>, hydravion ou avion), ainsi que les itinéraires normalement utilisés pour entrer et sortir de la collectivité</w:t>
      </w:r>
      <w:r w:rsidRPr="006D1AC1">
        <w:t>.</w:t>
      </w:r>
      <w:bookmarkEnd w:id="9"/>
    </w:p>
    <w:p w14:paraId="348DA36B" w14:textId="77777777" w:rsidR="009E024D" w:rsidRPr="006D1AC1" w:rsidRDefault="009E024D" w:rsidP="009E024D">
      <w:pPr>
        <w:spacing w:after="0"/>
        <w:ind w:left="360"/>
      </w:pPr>
    </w:p>
    <w:p w14:paraId="38C30C00" w14:textId="3F35E587" w:rsidR="009E024D" w:rsidRPr="006D1AC1" w:rsidRDefault="00660849" w:rsidP="001030E5">
      <w:pPr>
        <w:spacing w:after="0"/>
        <w:rPr>
          <w:b/>
        </w:rPr>
      </w:pPr>
      <w:bookmarkStart w:id="10" w:name="lt_pId013"/>
      <w:r w:rsidRPr="006D1AC1">
        <w:rPr>
          <w:b/>
        </w:rPr>
        <w:t>Pour les collectivités inuites</w:t>
      </w:r>
      <w:r w:rsidR="00BD0775" w:rsidRPr="006D1AC1">
        <w:rPr>
          <w:b/>
        </w:rPr>
        <w:t> </w:t>
      </w:r>
      <w:r w:rsidRPr="006D1AC1">
        <w:rPr>
          <w:b/>
        </w:rPr>
        <w:t>:</w:t>
      </w:r>
      <w:bookmarkEnd w:id="10"/>
    </w:p>
    <w:p w14:paraId="2DB02475" w14:textId="77777777" w:rsidR="009E024D" w:rsidRPr="006D1AC1" w:rsidRDefault="009E024D" w:rsidP="00E42879">
      <w:pPr>
        <w:spacing w:after="0"/>
        <w:rPr>
          <w:bCs/>
        </w:rPr>
      </w:pPr>
    </w:p>
    <w:p w14:paraId="6D23FBFD" w14:textId="2DAC10F6" w:rsidR="00240E46" w:rsidRPr="006D1AC1" w:rsidRDefault="0028051D" w:rsidP="00732915">
      <w:pPr>
        <w:pStyle w:val="ListParagraph"/>
        <w:numPr>
          <w:ilvl w:val="0"/>
          <w:numId w:val="1"/>
        </w:numPr>
        <w:spacing w:after="0"/>
      </w:pPr>
      <w:bookmarkStart w:id="11" w:name="lt_pId014"/>
      <w:r w:rsidRPr="006D1AC1">
        <w:rPr>
          <w:b/>
          <w:bCs/>
          <w:u w:val="single"/>
        </w:rPr>
        <w:t>Inuit Nunangat</w:t>
      </w:r>
      <w:r w:rsidR="00BD0775" w:rsidRPr="006D1AC1">
        <w:t> </w:t>
      </w:r>
      <w:r w:rsidRPr="006D1AC1">
        <w:t xml:space="preserve">: Les </w:t>
      </w:r>
      <w:r w:rsidR="00560E4E" w:rsidRPr="006D1AC1">
        <w:t xml:space="preserve">collectivités </w:t>
      </w:r>
      <w:r w:rsidRPr="006D1AC1">
        <w:t xml:space="preserve">inuites que l’on appelle </w:t>
      </w:r>
      <w:r w:rsidRPr="006D1AC1">
        <w:rPr>
          <w:b/>
          <w:bCs/>
          <w:u w:val="single"/>
        </w:rPr>
        <w:t>Inuit Nunangat</w:t>
      </w:r>
      <w:r w:rsidRPr="006D1AC1">
        <w:t xml:space="preserve">, et non les </w:t>
      </w:r>
      <w:r w:rsidR="00560E4E" w:rsidRPr="006D1AC1">
        <w:t xml:space="preserve">collectivités </w:t>
      </w:r>
      <w:r w:rsidRPr="006D1AC1">
        <w:t xml:space="preserve">éloignées et isolées, doivent respecter la langue et la culture uniques des régions inuites, ainsi que les défis communs en matière de déterminants sociaux de la santé, d’accès aux soins et d’infrastructure qui se posent dans toutes les </w:t>
      </w:r>
      <w:r w:rsidR="00560E4E" w:rsidRPr="006D1AC1">
        <w:t xml:space="preserve">collectivités </w:t>
      </w:r>
      <w:r w:rsidRPr="006D1AC1">
        <w:t>inuites.</w:t>
      </w:r>
      <w:bookmarkEnd w:id="11"/>
    </w:p>
    <w:p w14:paraId="4817D033" w14:textId="789F97A4" w:rsidR="005F47A4" w:rsidRPr="006D1AC1" w:rsidRDefault="005F47A4" w:rsidP="005F47A4">
      <w:pPr>
        <w:spacing w:after="0"/>
      </w:pPr>
    </w:p>
    <w:p w14:paraId="1D896F62" w14:textId="5173332B" w:rsidR="00DE4B1E" w:rsidRPr="006D1AC1" w:rsidRDefault="00DE4B1E" w:rsidP="005F47A4">
      <w:pPr>
        <w:spacing w:after="0"/>
        <w:rPr>
          <w:b/>
        </w:rPr>
      </w:pPr>
      <w:r w:rsidRPr="006D1AC1">
        <w:rPr>
          <w:b/>
        </w:rPr>
        <w:t>Pour les collectivités autochtones </w:t>
      </w:r>
    </w:p>
    <w:p w14:paraId="5D4B344B" w14:textId="77777777" w:rsidR="00DE4B1E" w:rsidRPr="00EB70CC" w:rsidRDefault="00DE4B1E" w:rsidP="00DE4B1E">
      <w:pPr>
        <w:spacing w:after="0"/>
        <w:rPr>
          <w:rFonts w:ascii="Calibri" w:hAnsi="Calibri"/>
          <w:i/>
          <w:iCs/>
          <w:color w:val="1F497D"/>
        </w:rPr>
      </w:pPr>
    </w:p>
    <w:p w14:paraId="35F073BA" w14:textId="6DA323B8" w:rsidR="00DE4B1E" w:rsidRPr="006D1AC1" w:rsidRDefault="00DE4B1E" w:rsidP="005F47A4">
      <w:pPr>
        <w:pStyle w:val="ListParagraph"/>
        <w:numPr>
          <w:ilvl w:val="0"/>
          <w:numId w:val="1"/>
        </w:numPr>
        <w:spacing w:after="0"/>
      </w:pPr>
      <w:r w:rsidRPr="00EB70CC">
        <w:rPr>
          <w:b/>
          <w:iCs/>
          <w:u w:val="single"/>
        </w:rPr>
        <w:t>Isolement social</w:t>
      </w:r>
      <w:r w:rsidR="00EB70CC">
        <w:rPr>
          <w:b/>
          <w:iCs/>
          <w:u w:val="single"/>
        </w:rPr>
        <w:t> </w:t>
      </w:r>
      <w:r w:rsidRPr="00EB70CC">
        <w:rPr>
          <w:iCs/>
        </w:rPr>
        <w:t xml:space="preserve">: </w:t>
      </w:r>
      <w:r w:rsidRPr="006D1AC1">
        <w:t xml:space="preserve">L’isolement </w:t>
      </w:r>
      <w:r w:rsidRPr="00EB70CC">
        <w:t xml:space="preserve">social est une situation dans laquelle une personne entretient des contacts </w:t>
      </w:r>
      <w:r w:rsidRPr="00EB70CC">
        <w:rPr>
          <w:color w:val="000000"/>
        </w:rPr>
        <w:t>peu fréquents et/ou de mauvaise qualité avec autrui</w:t>
      </w:r>
      <w:r w:rsidR="00DF76C5" w:rsidRPr="00EB70CC">
        <w:rPr>
          <w:color w:val="000000"/>
        </w:rPr>
        <w:t>.</w:t>
      </w:r>
      <w:r w:rsidR="00DF76C5" w:rsidRPr="00EB70CC">
        <w:t xml:space="preserve"> Habituellement, l’isolement social est </w:t>
      </w:r>
      <w:r w:rsidR="00DF76C5" w:rsidRPr="00EB70CC">
        <w:rPr>
          <w:color w:val="000000"/>
        </w:rPr>
        <w:t>plus répandu</w:t>
      </w:r>
      <w:r w:rsidRPr="006D1AC1">
        <w:t xml:space="preserve"> </w:t>
      </w:r>
      <w:r w:rsidR="00DF76C5" w:rsidRPr="00EB70CC">
        <w:t xml:space="preserve">parmi </w:t>
      </w:r>
      <w:r w:rsidRPr="006D1AC1">
        <w:t xml:space="preserve">les personnes âgées autochtones </w:t>
      </w:r>
      <w:r w:rsidR="00DF76C5" w:rsidRPr="006D1AC1">
        <w:t xml:space="preserve">et d’autres </w:t>
      </w:r>
      <w:r w:rsidRPr="006D1AC1">
        <w:t>vivant en milieu urbain en raison d</w:t>
      </w:r>
      <w:r w:rsidR="00DF76C5" w:rsidRPr="006D1AC1">
        <w:t>e l’absence de systèmes</w:t>
      </w:r>
      <w:r w:rsidRPr="006D1AC1">
        <w:t xml:space="preserve"> </w:t>
      </w:r>
      <w:r w:rsidR="00DF76C5" w:rsidRPr="006D1AC1">
        <w:t xml:space="preserve">de soutien traditionnel autochtone basés sur les valeurs du mieux-être individuel, la responsabilité partagée, les soins partagés et les liens de parenté. En plus des obstacles géographiques, l’isolement social doit être considéré </w:t>
      </w:r>
      <w:r w:rsidR="00F2306F" w:rsidRPr="006D1AC1">
        <w:t>comme relevant du champ d’application de cette définition, étant donné qu’il est un déterminant clé de la santé.</w:t>
      </w:r>
    </w:p>
    <w:p w14:paraId="33F283CD" w14:textId="35BA1BBF" w:rsidR="00F2306F" w:rsidRPr="006D1AC1" w:rsidRDefault="00F2306F" w:rsidP="006D1AC1">
      <w:pPr>
        <w:spacing w:after="0"/>
        <w:rPr>
          <w:b/>
        </w:rPr>
      </w:pPr>
    </w:p>
    <w:p w14:paraId="5BA5A544" w14:textId="79D9477C" w:rsidR="00F2306F" w:rsidRPr="006D1AC1" w:rsidRDefault="00F2306F" w:rsidP="005F47A4">
      <w:pPr>
        <w:pStyle w:val="ListParagraph"/>
        <w:numPr>
          <w:ilvl w:val="0"/>
          <w:numId w:val="1"/>
        </w:numPr>
        <w:spacing w:after="0"/>
        <w:rPr>
          <w:b/>
          <w:u w:val="single"/>
        </w:rPr>
      </w:pPr>
      <w:r w:rsidRPr="006D1AC1">
        <w:rPr>
          <w:b/>
          <w:u w:val="single"/>
        </w:rPr>
        <w:t>Considérations clés liées aux risques d’isolement social :</w:t>
      </w:r>
    </w:p>
    <w:p w14:paraId="33668C5C" w14:textId="77777777" w:rsidR="00F2306F" w:rsidRPr="006D1AC1" w:rsidRDefault="00F2306F" w:rsidP="006D1AC1">
      <w:pPr>
        <w:pStyle w:val="ListParagraph"/>
        <w:rPr>
          <w:b/>
        </w:rPr>
      </w:pPr>
    </w:p>
    <w:p w14:paraId="67706DD1" w14:textId="20FBC693" w:rsidR="00F2306F" w:rsidRPr="000C5398" w:rsidRDefault="006F769C" w:rsidP="00F2306F">
      <w:pPr>
        <w:pStyle w:val="ListParagraph"/>
        <w:numPr>
          <w:ilvl w:val="1"/>
          <w:numId w:val="1"/>
        </w:numPr>
        <w:spacing w:after="0"/>
      </w:pPr>
      <w:r w:rsidRPr="006D1AC1">
        <w:rPr>
          <w:b/>
          <w:iCs/>
        </w:rPr>
        <w:t>Considérations pour la santé</w:t>
      </w:r>
      <w:r w:rsidR="00EB70CC" w:rsidRPr="006D1AC1">
        <w:rPr>
          <w:b/>
          <w:iCs/>
        </w:rPr>
        <w:t> </w:t>
      </w:r>
      <w:r w:rsidR="00F2306F" w:rsidRPr="006D1AC1">
        <w:rPr>
          <w:b/>
          <w:bCs/>
          <w:iCs/>
        </w:rPr>
        <w:t>:</w:t>
      </w:r>
      <w:r w:rsidR="00F2306F" w:rsidRPr="000C5398">
        <w:rPr>
          <w:iCs/>
        </w:rPr>
        <w:t xml:space="preserve"> </w:t>
      </w:r>
      <w:r w:rsidR="00F2306F" w:rsidRPr="000C5398">
        <w:t xml:space="preserve">Les problèmes de santé physique ou mentale, y compris les enjeux de mobilité; être </w:t>
      </w:r>
      <w:r w:rsidR="00F2306F" w:rsidRPr="000C5398">
        <w:rPr>
          <w:color w:val="000000"/>
        </w:rPr>
        <w:t>survivant d</w:t>
      </w:r>
      <w:r w:rsidR="00EB70CC" w:rsidRPr="000C5398">
        <w:rPr>
          <w:color w:val="000000"/>
        </w:rPr>
        <w:t>’</w:t>
      </w:r>
      <w:r w:rsidR="00F2306F" w:rsidRPr="000C5398">
        <w:rPr>
          <w:color w:val="000000"/>
        </w:rPr>
        <w:t>actes de violence</w:t>
      </w:r>
      <w:r w:rsidR="00F2306F" w:rsidRPr="000C5398">
        <w:t xml:space="preserve">, y compris la négligence et la violence </w:t>
      </w:r>
      <w:r w:rsidR="00EB70CC" w:rsidRPr="000C5398">
        <w:t>financière</w:t>
      </w:r>
      <w:r w:rsidRPr="000C5398">
        <w:t>.</w:t>
      </w:r>
    </w:p>
    <w:p w14:paraId="7D2F82A5" w14:textId="06D002D8" w:rsidR="006F769C" w:rsidRPr="000C5398" w:rsidRDefault="006F769C" w:rsidP="006F769C">
      <w:pPr>
        <w:pStyle w:val="ListParagraph"/>
        <w:numPr>
          <w:ilvl w:val="1"/>
          <w:numId w:val="1"/>
        </w:numPr>
        <w:spacing w:after="0"/>
      </w:pPr>
      <w:r w:rsidRPr="006D1AC1">
        <w:rPr>
          <w:b/>
          <w:iCs/>
        </w:rPr>
        <w:t>Considérations</w:t>
      </w:r>
      <w:r w:rsidRPr="006D1AC1">
        <w:rPr>
          <w:b/>
          <w:bCs/>
        </w:rPr>
        <w:t xml:space="preserve"> sociales et culturelles </w:t>
      </w:r>
      <w:r w:rsidRPr="006D1AC1">
        <w:rPr>
          <w:b/>
        </w:rPr>
        <w:t>:</w:t>
      </w:r>
      <w:r w:rsidRPr="000C5398">
        <w:t xml:space="preserve"> Absence d’amis ou de famille, inaccessibilité aux moyens de transport; perte d’indépendance; inaccessibilité aux </w:t>
      </w:r>
      <w:r w:rsidR="00EB70CC" w:rsidRPr="000C5398">
        <w:t>moyens</w:t>
      </w:r>
      <w:r w:rsidRPr="000C5398">
        <w:t xml:space="preserve"> de communication (par exemple, le téléphone, le téléphone cellulaire); et la discrimination.</w:t>
      </w:r>
    </w:p>
    <w:p w14:paraId="465A63B8" w14:textId="75FDBDA1" w:rsidR="00616AD3" w:rsidRPr="006D1AC1" w:rsidRDefault="006F769C" w:rsidP="006F769C">
      <w:pPr>
        <w:pStyle w:val="ListParagraph"/>
        <w:numPr>
          <w:ilvl w:val="1"/>
          <w:numId w:val="1"/>
        </w:numPr>
        <w:spacing w:after="0"/>
      </w:pPr>
      <w:r w:rsidRPr="006D1AC1">
        <w:rPr>
          <w:b/>
          <w:iCs/>
        </w:rPr>
        <w:t>Considérations</w:t>
      </w:r>
      <w:r w:rsidRPr="006D1AC1">
        <w:rPr>
          <w:b/>
          <w:bCs/>
        </w:rPr>
        <w:t xml:space="preserve"> économiques :</w:t>
      </w:r>
      <w:r w:rsidRPr="000C5398">
        <w:t xml:space="preserve"> incapacité de se permettre les produits essentiels</w:t>
      </w:r>
      <w:r w:rsidRPr="000C5398">
        <w:rPr>
          <w:color w:val="000000"/>
        </w:rPr>
        <w:t xml:space="preserve"> (aliments sains, médicaments)</w:t>
      </w:r>
      <w:r w:rsidR="00616AD3" w:rsidRPr="000C5398">
        <w:rPr>
          <w:color w:val="000000"/>
        </w:rPr>
        <w:t xml:space="preserve"> et pauvreté.</w:t>
      </w:r>
    </w:p>
    <w:p w14:paraId="272436AC" w14:textId="76BBD652" w:rsidR="006F769C" w:rsidRPr="006D1AC1" w:rsidRDefault="00EB70CC" w:rsidP="006F769C">
      <w:pPr>
        <w:pStyle w:val="ListParagraph"/>
        <w:numPr>
          <w:ilvl w:val="1"/>
          <w:numId w:val="1"/>
        </w:numPr>
        <w:spacing w:after="0"/>
      </w:pPr>
      <w:r w:rsidRPr="006D1AC1">
        <w:rPr>
          <w:b/>
          <w:iCs/>
        </w:rPr>
        <w:t>Considérations</w:t>
      </w:r>
      <w:r w:rsidRPr="000C5398">
        <w:rPr>
          <w:b/>
          <w:color w:val="000000"/>
        </w:rPr>
        <w:t xml:space="preserve"> liées</w:t>
      </w:r>
      <w:r w:rsidR="00616AD3" w:rsidRPr="006D1AC1">
        <w:rPr>
          <w:b/>
          <w:color w:val="000000"/>
        </w:rPr>
        <w:t xml:space="preserve"> aux autres facteurs de risque</w:t>
      </w:r>
      <w:r w:rsidR="00616AD3" w:rsidRPr="006D1AC1">
        <w:rPr>
          <w:b/>
          <w:bCs/>
          <w:color w:val="000000"/>
        </w:rPr>
        <w:t> :</w:t>
      </w:r>
      <w:r w:rsidR="00616AD3" w:rsidRPr="000C5398">
        <w:rPr>
          <w:color w:val="000000"/>
        </w:rPr>
        <w:t xml:space="preserve"> Racisme, expérience antérieure en établissement,</w:t>
      </w:r>
      <w:r w:rsidR="00616AD3" w:rsidRPr="000C5398">
        <w:t xml:space="preserve"> </w:t>
      </w:r>
      <w:r w:rsidR="00616AD3" w:rsidRPr="000C5398">
        <w:rPr>
          <w:color w:val="000000"/>
        </w:rPr>
        <w:t>le traumatisme des pensionnats indiens</w:t>
      </w:r>
      <w:r w:rsidR="006F769C" w:rsidRPr="000C5398">
        <w:t xml:space="preserve">, </w:t>
      </w:r>
      <w:r w:rsidR="00616AD3" w:rsidRPr="000C5398">
        <w:t>vivre dans des logements surpeuplés, soutien familial insuffisant ou à; différences culturelles; différences linguistiques; isolement</w:t>
      </w:r>
      <w:r w:rsidR="00616AD3" w:rsidRPr="00EB70CC">
        <w:t xml:space="preserve"> sur le plan politique et des compétences;</w:t>
      </w:r>
      <w:r w:rsidR="006F769C" w:rsidRPr="00EB70CC">
        <w:t xml:space="preserve"> </w:t>
      </w:r>
      <w:r w:rsidR="00616AD3" w:rsidRPr="00EB70CC">
        <w:t xml:space="preserve">inaccessibilité des services; absence </w:t>
      </w:r>
      <w:r w:rsidRPr="00EB70CC">
        <w:t>d</w:t>
      </w:r>
      <w:r>
        <w:t>’</w:t>
      </w:r>
      <w:r w:rsidRPr="00EB70CC">
        <w:t>activités</w:t>
      </w:r>
      <w:r w:rsidR="00616AD3" w:rsidRPr="00EB70CC">
        <w:t xml:space="preserve"> culturellement adaptées et/ou</w:t>
      </w:r>
      <w:r w:rsidRPr="00EB70CC">
        <w:t xml:space="preserve"> inaccessibilité des activités</w:t>
      </w:r>
      <w:r w:rsidR="006F769C" w:rsidRPr="00EB70CC">
        <w:t>.</w:t>
      </w:r>
    </w:p>
    <w:p w14:paraId="7EF45EE6" w14:textId="00B832BB" w:rsidR="00DE4B1E" w:rsidRPr="006D1AC1" w:rsidRDefault="00DE4B1E" w:rsidP="005F47A4">
      <w:pPr>
        <w:spacing w:after="0"/>
      </w:pPr>
    </w:p>
    <w:p w14:paraId="357EE7AE" w14:textId="77777777" w:rsidR="00DE4B1E" w:rsidRPr="006D1AC1" w:rsidRDefault="00DE4B1E" w:rsidP="005F47A4">
      <w:pPr>
        <w:spacing w:after="0"/>
      </w:pPr>
    </w:p>
    <w:p w14:paraId="1F3874E3" w14:textId="0DD1364F" w:rsidR="005F47A4" w:rsidRPr="006D1AC1" w:rsidRDefault="0028051D" w:rsidP="005F47A4">
      <w:pPr>
        <w:spacing w:after="0"/>
        <w:jc w:val="center"/>
        <w:rPr>
          <w:b/>
        </w:rPr>
      </w:pPr>
      <w:bookmarkStart w:id="12" w:name="lt_pId015"/>
      <w:r w:rsidRPr="006D1AC1">
        <w:rPr>
          <w:b/>
        </w:rPr>
        <w:lastRenderedPageBreak/>
        <w:t xml:space="preserve">Autres considérations </w:t>
      </w:r>
      <w:r w:rsidR="00B64FC7" w:rsidRPr="006D1AC1">
        <w:rPr>
          <w:b/>
        </w:rPr>
        <w:t xml:space="preserve">à prendre en compte </w:t>
      </w:r>
      <w:r w:rsidRPr="006D1AC1">
        <w:rPr>
          <w:b/>
        </w:rPr>
        <w:t>lors de l</w:t>
      </w:r>
      <w:r w:rsidR="00BD0775" w:rsidRPr="006D1AC1">
        <w:rPr>
          <w:b/>
        </w:rPr>
        <w:t>’</w:t>
      </w:r>
      <w:r w:rsidRPr="006D1AC1">
        <w:rPr>
          <w:b/>
        </w:rPr>
        <w:t xml:space="preserve">établissement de la priorité de la distribution du vaccin de la COVID-19 </w:t>
      </w:r>
      <w:bookmarkEnd w:id="12"/>
      <w:r w:rsidR="00BD0775" w:rsidRPr="006D1AC1">
        <w:rPr>
          <w:b/>
        </w:rPr>
        <w:t>–</w:t>
      </w:r>
    </w:p>
    <w:p w14:paraId="00182063" w14:textId="77777777" w:rsidR="000C5398" w:rsidRPr="00EB70CC" w:rsidRDefault="000C5398" w:rsidP="000C5398">
      <w:pPr>
        <w:spacing w:after="0"/>
        <w:rPr>
          <w:rFonts w:ascii="Calibri" w:hAnsi="Calibri"/>
          <w:i/>
          <w:iCs/>
          <w:color w:val="1F497D"/>
        </w:rPr>
      </w:pPr>
    </w:p>
    <w:p w14:paraId="29C9D02F" w14:textId="73861CD9" w:rsidR="000C5398" w:rsidRPr="006D1AC1" w:rsidRDefault="00BD0EFD" w:rsidP="006D1AC1">
      <w:pPr>
        <w:pStyle w:val="ListParagraph"/>
        <w:numPr>
          <w:ilvl w:val="0"/>
          <w:numId w:val="1"/>
        </w:numPr>
        <w:spacing w:after="0"/>
        <w:rPr>
          <w:b/>
          <w:u w:val="single"/>
        </w:rPr>
      </w:pPr>
      <w:bookmarkStart w:id="13" w:name="lt_pId019"/>
      <w:r w:rsidRPr="006D1AC1">
        <w:rPr>
          <w:b/>
          <w:u w:val="single"/>
        </w:rPr>
        <w:t>Déterminants sociaux de la santé</w:t>
      </w:r>
      <w:bookmarkEnd w:id="13"/>
    </w:p>
    <w:p w14:paraId="3B2E7C8F" w14:textId="294E79C1" w:rsidR="005F47A4" w:rsidRPr="006D1AC1" w:rsidRDefault="00BD0EFD" w:rsidP="006D1AC1">
      <w:pPr>
        <w:pStyle w:val="ListParagraph"/>
        <w:spacing w:after="0"/>
      </w:pPr>
      <w:bookmarkStart w:id="14" w:name="lt_pId020"/>
      <w:r w:rsidRPr="006D1AC1">
        <w:t xml:space="preserve">Les peuples autochtones, tant dans les réserves, dans les collectivités éloignées et isolées que dans les milieux urbains, </w:t>
      </w:r>
      <w:r w:rsidR="00560E4E" w:rsidRPr="006D1AC1">
        <w:t xml:space="preserve">connaissent une proportion élevée de maladies </w:t>
      </w:r>
      <w:r w:rsidRPr="006D1AC1">
        <w:t>en raison de facteurs sociaux, environnementaux et économiques, enracinés dans l’histoire de la colonisation.</w:t>
      </w:r>
      <w:bookmarkEnd w:id="14"/>
      <w:r w:rsidR="00537B88" w:rsidRPr="006D1AC1">
        <w:t xml:space="preserve"> </w:t>
      </w:r>
      <w:bookmarkStart w:id="15" w:name="lt_pId021"/>
      <w:r w:rsidRPr="006D1AC1">
        <w:t>Les déterminants sociaux de la santé, tels que l</w:t>
      </w:r>
      <w:r w:rsidR="00BD0775" w:rsidRPr="006D1AC1">
        <w:t>’</w:t>
      </w:r>
      <w:r w:rsidRPr="006D1AC1">
        <w:t>infrastructure communautaire, l</w:t>
      </w:r>
      <w:r w:rsidR="00BD0775" w:rsidRPr="006D1AC1">
        <w:t>’</w:t>
      </w:r>
      <w:r w:rsidRPr="006D1AC1">
        <w:t>accès à l</w:t>
      </w:r>
      <w:r w:rsidR="00BD0775" w:rsidRPr="006D1AC1">
        <w:t>’</w:t>
      </w:r>
      <w:r w:rsidRPr="006D1AC1">
        <w:t>eau potable, l</w:t>
      </w:r>
      <w:r w:rsidR="00BD0775" w:rsidRPr="006D1AC1">
        <w:t>’</w:t>
      </w:r>
      <w:r w:rsidRPr="006D1AC1">
        <w:t>insécurité alimentaire, la pauvreté et la surpopulation, placent les populations autochtones à risque plus élevé d</w:t>
      </w:r>
      <w:r w:rsidR="00BD0775" w:rsidRPr="006D1AC1">
        <w:t>’</w:t>
      </w:r>
      <w:r w:rsidRPr="006D1AC1">
        <w:t>éclosion de maladies transmissibles, y compris les risques élevés d</w:t>
      </w:r>
      <w:r w:rsidR="00BD0775" w:rsidRPr="006D1AC1">
        <w:t>’</w:t>
      </w:r>
      <w:r w:rsidRPr="006D1AC1">
        <w:t>infection et les effets néfastes sur la santé.</w:t>
      </w:r>
      <w:bookmarkEnd w:id="15"/>
    </w:p>
    <w:p w14:paraId="016D4BC6" w14:textId="77777777" w:rsidR="005F47A4" w:rsidRPr="006D1AC1" w:rsidRDefault="005F47A4" w:rsidP="005F47A4">
      <w:pPr>
        <w:spacing w:after="0"/>
      </w:pPr>
    </w:p>
    <w:p w14:paraId="0FABD669" w14:textId="77777777" w:rsidR="00192CC9" w:rsidRPr="00E42879" w:rsidRDefault="00192CC9" w:rsidP="00E42879">
      <w:pPr>
        <w:spacing w:after="0"/>
        <w:rPr>
          <w:lang w:val="fr-FR"/>
        </w:rPr>
      </w:pPr>
    </w:p>
    <w:sectPr w:rsidR="00192CC9" w:rsidRPr="00E428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F1075" w14:textId="77777777" w:rsidR="00240D82" w:rsidRDefault="00537B88">
      <w:pPr>
        <w:spacing w:after="0" w:line="240" w:lineRule="auto"/>
      </w:pPr>
      <w:r>
        <w:separator/>
      </w:r>
    </w:p>
  </w:endnote>
  <w:endnote w:type="continuationSeparator" w:id="0">
    <w:p w14:paraId="42DE49F0" w14:textId="77777777" w:rsidR="00240D82" w:rsidRDefault="0053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9226" w14:textId="77777777" w:rsidR="00EB70CC" w:rsidRDefault="00EB7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FA041" w14:textId="77777777" w:rsidR="00EB70CC" w:rsidRDefault="00EB7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4FAB" w14:textId="77777777" w:rsidR="00EB70CC" w:rsidRDefault="00EB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88642" w14:textId="77777777" w:rsidR="00240D82" w:rsidRDefault="00537B88">
      <w:pPr>
        <w:spacing w:after="0" w:line="240" w:lineRule="auto"/>
      </w:pPr>
      <w:r>
        <w:separator/>
      </w:r>
    </w:p>
  </w:footnote>
  <w:footnote w:type="continuationSeparator" w:id="0">
    <w:p w14:paraId="104FB165" w14:textId="77777777" w:rsidR="00240D82" w:rsidRDefault="0053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5439" w14:textId="77777777" w:rsidR="00EB70CC" w:rsidRDefault="00EB7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2A2C" w14:textId="77777777" w:rsidR="00001696" w:rsidRDefault="00001696" w:rsidP="00D074A9">
    <w:pPr>
      <w:spacing w:after="0"/>
      <w:rPr>
        <w:color w:val="000000"/>
      </w:rPr>
    </w:pPr>
    <w:bookmarkStart w:id="16" w:name="lt_pId000"/>
    <w:r w:rsidRPr="00EB70CC">
      <w:rPr>
        <w:color w:val="000000"/>
      </w:rPr>
      <w:t>Groupe de travail de la santé publique des collectivités autochtones éloignées</w:t>
    </w:r>
    <w:r>
      <w:rPr>
        <w:color w:val="000000"/>
      </w:rPr>
      <w:t xml:space="preserve"> et</w:t>
    </w:r>
    <w:r w:rsidRPr="00EB70CC">
      <w:rPr>
        <w:color w:val="000000"/>
      </w:rPr>
      <w:t xml:space="preserve"> isolées </w:t>
    </w:r>
  </w:p>
  <w:p w14:paraId="7A9A8659" w14:textId="16D5C46F" w:rsidR="00D074A9" w:rsidRPr="00E42879" w:rsidRDefault="00F214DE" w:rsidP="00D074A9">
    <w:pPr>
      <w:spacing w:after="0"/>
      <w:rPr>
        <w:b/>
      </w:rPr>
    </w:pPr>
    <w:r w:rsidRPr="00E42879">
      <w:rPr>
        <w:b/>
      </w:rPr>
      <w:t xml:space="preserve">Le </w:t>
    </w:r>
    <w:r w:rsidR="00001696">
      <w:rPr>
        <w:b/>
      </w:rPr>
      <w:t>15</w:t>
    </w:r>
    <w:r w:rsidR="00BD0775" w:rsidRPr="00E42879">
      <w:rPr>
        <w:b/>
      </w:rPr>
      <w:t> </w:t>
    </w:r>
    <w:r w:rsidRPr="00E42879">
      <w:rPr>
        <w:b/>
      </w:rPr>
      <w:t>décembre</w:t>
    </w:r>
    <w:r w:rsidR="00BD0775" w:rsidRPr="00E42879">
      <w:rPr>
        <w:b/>
      </w:rPr>
      <w:t> </w:t>
    </w:r>
    <w:r w:rsidRPr="00E42879">
      <w:rPr>
        <w:b/>
      </w:rPr>
      <w:t>2020</w:t>
    </w:r>
    <w:bookmarkEnd w:id="16"/>
    <w:r w:rsidR="00001696">
      <w:rPr>
        <w:b/>
      </w:rPr>
      <w:t xml:space="preserve"> – Ébauche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8560" w14:textId="77777777" w:rsidR="00EB70CC" w:rsidRDefault="00EB7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41EE5"/>
    <w:multiLevelType w:val="multilevel"/>
    <w:tmpl w:val="F3D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4C6B"/>
    <w:multiLevelType w:val="hybridMultilevel"/>
    <w:tmpl w:val="BA0CE8B6"/>
    <w:lvl w:ilvl="0" w:tplc="6A26AABC">
      <w:start w:val="1"/>
      <w:numFmt w:val="bullet"/>
      <w:lvlText w:val=""/>
      <w:lvlJc w:val="left"/>
      <w:pPr>
        <w:ind w:left="720" w:hanging="360"/>
      </w:pPr>
      <w:rPr>
        <w:rFonts w:ascii="Symbol" w:hAnsi="Symbol" w:hint="default"/>
      </w:rPr>
    </w:lvl>
    <w:lvl w:ilvl="1" w:tplc="91CCE5CC">
      <w:start w:val="1"/>
      <w:numFmt w:val="bullet"/>
      <w:lvlText w:val="o"/>
      <w:lvlJc w:val="left"/>
      <w:pPr>
        <w:ind w:left="1440" w:hanging="360"/>
      </w:pPr>
      <w:rPr>
        <w:rFonts w:ascii="Courier New" w:hAnsi="Courier New" w:cs="Courier New" w:hint="default"/>
      </w:rPr>
    </w:lvl>
    <w:lvl w:ilvl="2" w:tplc="7CFC3BBC" w:tentative="1">
      <w:start w:val="1"/>
      <w:numFmt w:val="bullet"/>
      <w:lvlText w:val=""/>
      <w:lvlJc w:val="left"/>
      <w:pPr>
        <w:ind w:left="2160" w:hanging="360"/>
      </w:pPr>
      <w:rPr>
        <w:rFonts w:ascii="Wingdings" w:hAnsi="Wingdings" w:hint="default"/>
      </w:rPr>
    </w:lvl>
    <w:lvl w:ilvl="3" w:tplc="FA5081F6" w:tentative="1">
      <w:start w:val="1"/>
      <w:numFmt w:val="bullet"/>
      <w:lvlText w:val=""/>
      <w:lvlJc w:val="left"/>
      <w:pPr>
        <w:ind w:left="2880" w:hanging="360"/>
      </w:pPr>
      <w:rPr>
        <w:rFonts w:ascii="Symbol" w:hAnsi="Symbol" w:hint="default"/>
      </w:rPr>
    </w:lvl>
    <w:lvl w:ilvl="4" w:tplc="5B54216E" w:tentative="1">
      <w:start w:val="1"/>
      <w:numFmt w:val="bullet"/>
      <w:lvlText w:val="o"/>
      <w:lvlJc w:val="left"/>
      <w:pPr>
        <w:ind w:left="3600" w:hanging="360"/>
      </w:pPr>
      <w:rPr>
        <w:rFonts w:ascii="Courier New" w:hAnsi="Courier New" w:cs="Courier New" w:hint="default"/>
      </w:rPr>
    </w:lvl>
    <w:lvl w:ilvl="5" w:tplc="05A25180" w:tentative="1">
      <w:start w:val="1"/>
      <w:numFmt w:val="bullet"/>
      <w:lvlText w:val=""/>
      <w:lvlJc w:val="left"/>
      <w:pPr>
        <w:ind w:left="4320" w:hanging="360"/>
      </w:pPr>
      <w:rPr>
        <w:rFonts w:ascii="Wingdings" w:hAnsi="Wingdings" w:hint="default"/>
      </w:rPr>
    </w:lvl>
    <w:lvl w:ilvl="6" w:tplc="0D5CCEE6" w:tentative="1">
      <w:start w:val="1"/>
      <w:numFmt w:val="bullet"/>
      <w:lvlText w:val=""/>
      <w:lvlJc w:val="left"/>
      <w:pPr>
        <w:ind w:left="5040" w:hanging="360"/>
      </w:pPr>
      <w:rPr>
        <w:rFonts w:ascii="Symbol" w:hAnsi="Symbol" w:hint="default"/>
      </w:rPr>
    </w:lvl>
    <w:lvl w:ilvl="7" w:tplc="C1E27B08" w:tentative="1">
      <w:start w:val="1"/>
      <w:numFmt w:val="bullet"/>
      <w:lvlText w:val="o"/>
      <w:lvlJc w:val="left"/>
      <w:pPr>
        <w:ind w:left="5760" w:hanging="360"/>
      </w:pPr>
      <w:rPr>
        <w:rFonts w:ascii="Courier New" w:hAnsi="Courier New" w:cs="Courier New" w:hint="default"/>
      </w:rPr>
    </w:lvl>
    <w:lvl w:ilvl="8" w:tplc="669606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14"/>
    <w:rsid w:val="00001696"/>
    <w:rsid w:val="000032A8"/>
    <w:rsid w:val="000329A9"/>
    <w:rsid w:val="00092D1C"/>
    <w:rsid w:val="000C5398"/>
    <w:rsid w:val="000D087A"/>
    <w:rsid w:val="000D3D9A"/>
    <w:rsid w:val="001030E5"/>
    <w:rsid w:val="00117FC8"/>
    <w:rsid w:val="001870F6"/>
    <w:rsid w:val="00192CC9"/>
    <w:rsid w:val="001B6E39"/>
    <w:rsid w:val="001D050C"/>
    <w:rsid w:val="001E6BEF"/>
    <w:rsid w:val="001F0339"/>
    <w:rsid w:val="0022411C"/>
    <w:rsid w:val="00240D82"/>
    <w:rsid w:val="00240E46"/>
    <w:rsid w:val="0028051D"/>
    <w:rsid w:val="002A57A3"/>
    <w:rsid w:val="002E5C1D"/>
    <w:rsid w:val="002F4BD1"/>
    <w:rsid w:val="00311071"/>
    <w:rsid w:val="00337AA4"/>
    <w:rsid w:val="003812A3"/>
    <w:rsid w:val="003A40CF"/>
    <w:rsid w:val="003B0ADD"/>
    <w:rsid w:val="003C1814"/>
    <w:rsid w:val="003C3018"/>
    <w:rsid w:val="0048754C"/>
    <w:rsid w:val="004C1004"/>
    <w:rsid w:val="004F660F"/>
    <w:rsid w:val="00504CCF"/>
    <w:rsid w:val="00513C05"/>
    <w:rsid w:val="00537B88"/>
    <w:rsid w:val="00541700"/>
    <w:rsid w:val="00544101"/>
    <w:rsid w:val="00560E4E"/>
    <w:rsid w:val="0057651C"/>
    <w:rsid w:val="005C430F"/>
    <w:rsid w:val="005C5524"/>
    <w:rsid w:val="005F47A4"/>
    <w:rsid w:val="00603654"/>
    <w:rsid w:val="00604CE7"/>
    <w:rsid w:val="00616AD3"/>
    <w:rsid w:val="00651414"/>
    <w:rsid w:val="00660849"/>
    <w:rsid w:val="006B7769"/>
    <w:rsid w:val="006D1AC1"/>
    <w:rsid w:val="006D2EEB"/>
    <w:rsid w:val="006F769C"/>
    <w:rsid w:val="00732915"/>
    <w:rsid w:val="00777F1A"/>
    <w:rsid w:val="007D659E"/>
    <w:rsid w:val="007E2D32"/>
    <w:rsid w:val="007F5A20"/>
    <w:rsid w:val="0080212C"/>
    <w:rsid w:val="0084719A"/>
    <w:rsid w:val="00880406"/>
    <w:rsid w:val="008A3B84"/>
    <w:rsid w:val="008A3E24"/>
    <w:rsid w:val="008C4334"/>
    <w:rsid w:val="0096403F"/>
    <w:rsid w:val="00981496"/>
    <w:rsid w:val="0098579F"/>
    <w:rsid w:val="009B2D44"/>
    <w:rsid w:val="009B4394"/>
    <w:rsid w:val="009D2572"/>
    <w:rsid w:val="009E024D"/>
    <w:rsid w:val="00A45AF5"/>
    <w:rsid w:val="00A53923"/>
    <w:rsid w:val="00B64FC7"/>
    <w:rsid w:val="00BD0775"/>
    <w:rsid w:val="00BD0EFD"/>
    <w:rsid w:val="00C847A9"/>
    <w:rsid w:val="00D074A9"/>
    <w:rsid w:val="00D831F8"/>
    <w:rsid w:val="00DC72BA"/>
    <w:rsid w:val="00DE4B1E"/>
    <w:rsid w:val="00DF76C5"/>
    <w:rsid w:val="00E42879"/>
    <w:rsid w:val="00EB1E4F"/>
    <w:rsid w:val="00EB70CC"/>
    <w:rsid w:val="00EC06F1"/>
    <w:rsid w:val="00ED08D4"/>
    <w:rsid w:val="00F02E11"/>
    <w:rsid w:val="00F15B2C"/>
    <w:rsid w:val="00F214DE"/>
    <w:rsid w:val="00F229B6"/>
    <w:rsid w:val="00F2306F"/>
    <w:rsid w:val="00FF2C92"/>
  </w:rsids>
  <m:mathPr>
    <m:mathFont m:val="Cambria Math"/>
    <m:brkBin m:val="before"/>
    <m:brkBinSub m:val="--"/>
    <m:smallFrac m:val="0"/>
    <m:dispDef/>
    <m:lMargin m:val="0"/>
    <m:rMargin m:val="0"/>
    <m:defJc m:val="centerGroup"/>
    <m:wrapIndent m:val="1440"/>
    <m:intLim m:val="subSup"/>
    <m:naryLim m:val="undOvr"/>
  </m:mathPr>
  <w:themeFontLang w:val="en-CA"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C489"/>
  <w15:docId w15:val="{2FBBA2D7-8EA2-4381-8487-9E681637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9E"/>
    <w:pPr>
      <w:ind w:left="720"/>
      <w:contextualSpacing/>
    </w:pPr>
  </w:style>
  <w:style w:type="character" w:styleId="Emphasis">
    <w:name w:val="Emphasis"/>
    <w:basedOn w:val="DefaultParagraphFont"/>
    <w:uiPriority w:val="20"/>
    <w:qFormat/>
    <w:rsid w:val="0098579F"/>
    <w:rPr>
      <w:i/>
      <w:iCs/>
    </w:rPr>
  </w:style>
  <w:style w:type="paragraph" w:styleId="BalloonText">
    <w:name w:val="Balloon Text"/>
    <w:basedOn w:val="Normal"/>
    <w:link w:val="BalloonTextChar"/>
    <w:uiPriority w:val="99"/>
    <w:semiHidden/>
    <w:unhideWhenUsed/>
    <w:rsid w:val="0057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1C"/>
    <w:rPr>
      <w:rFonts w:ascii="Tahoma" w:hAnsi="Tahoma" w:cs="Tahoma"/>
      <w:sz w:val="16"/>
      <w:szCs w:val="16"/>
    </w:rPr>
  </w:style>
  <w:style w:type="character" w:styleId="Strong">
    <w:name w:val="Strong"/>
    <w:basedOn w:val="DefaultParagraphFont"/>
    <w:uiPriority w:val="22"/>
    <w:qFormat/>
    <w:rsid w:val="008A3B84"/>
    <w:rPr>
      <w:b/>
      <w:bCs/>
    </w:rPr>
  </w:style>
  <w:style w:type="character" w:styleId="CommentReference">
    <w:name w:val="annotation reference"/>
    <w:basedOn w:val="DefaultParagraphFont"/>
    <w:uiPriority w:val="99"/>
    <w:semiHidden/>
    <w:unhideWhenUsed/>
    <w:rsid w:val="0084719A"/>
    <w:rPr>
      <w:sz w:val="16"/>
      <w:szCs w:val="16"/>
    </w:rPr>
  </w:style>
  <w:style w:type="paragraph" w:styleId="CommentText">
    <w:name w:val="annotation text"/>
    <w:basedOn w:val="Normal"/>
    <w:link w:val="CommentTextChar"/>
    <w:uiPriority w:val="99"/>
    <w:semiHidden/>
    <w:unhideWhenUsed/>
    <w:rsid w:val="0084719A"/>
    <w:pPr>
      <w:spacing w:line="240" w:lineRule="auto"/>
    </w:pPr>
    <w:rPr>
      <w:sz w:val="20"/>
      <w:szCs w:val="20"/>
    </w:rPr>
  </w:style>
  <w:style w:type="character" w:customStyle="1" w:styleId="CommentTextChar">
    <w:name w:val="Comment Text Char"/>
    <w:basedOn w:val="DefaultParagraphFont"/>
    <w:link w:val="CommentText"/>
    <w:uiPriority w:val="99"/>
    <w:semiHidden/>
    <w:rsid w:val="0084719A"/>
    <w:rPr>
      <w:sz w:val="20"/>
      <w:szCs w:val="20"/>
    </w:rPr>
  </w:style>
  <w:style w:type="paragraph" w:styleId="CommentSubject">
    <w:name w:val="annotation subject"/>
    <w:basedOn w:val="CommentText"/>
    <w:next w:val="CommentText"/>
    <w:link w:val="CommentSubjectChar"/>
    <w:uiPriority w:val="99"/>
    <w:semiHidden/>
    <w:unhideWhenUsed/>
    <w:rsid w:val="0084719A"/>
    <w:rPr>
      <w:b/>
      <w:bCs/>
    </w:rPr>
  </w:style>
  <w:style w:type="character" w:customStyle="1" w:styleId="CommentSubjectChar">
    <w:name w:val="Comment Subject Char"/>
    <w:basedOn w:val="CommentTextChar"/>
    <w:link w:val="CommentSubject"/>
    <w:uiPriority w:val="99"/>
    <w:semiHidden/>
    <w:rsid w:val="0084719A"/>
    <w:rPr>
      <w:b/>
      <w:bCs/>
      <w:sz w:val="20"/>
      <w:szCs w:val="20"/>
    </w:rPr>
  </w:style>
  <w:style w:type="paragraph" w:styleId="Header">
    <w:name w:val="header"/>
    <w:basedOn w:val="Normal"/>
    <w:link w:val="HeaderChar"/>
    <w:uiPriority w:val="99"/>
    <w:unhideWhenUsed/>
    <w:rsid w:val="00D07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A9"/>
  </w:style>
  <w:style w:type="paragraph" w:styleId="Footer">
    <w:name w:val="footer"/>
    <w:basedOn w:val="Normal"/>
    <w:link w:val="FooterChar"/>
    <w:uiPriority w:val="99"/>
    <w:unhideWhenUsed/>
    <w:rsid w:val="00D0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A9"/>
  </w:style>
  <w:style w:type="paragraph" w:styleId="NormalWeb">
    <w:name w:val="Normal (Web)"/>
    <w:basedOn w:val="Normal"/>
    <w:uiPriority w:val="99"/>
    <w:semiHidden/>
    <w:unhideWhenUsed/>
    <w:rsid w:val="00117FC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Alisar Ibrahim</dc:creator>
  <cp:lastModifiedBy>Keegan Charbonneau</cp:lastModifiedBy>
  <cp:revision>8</cp:revision>
  <dcterms:created xsi:type="dcterms:W3CDTF">2020-12-16T18:29:00Z</dcterms:created>
  <dcterms:modified xsi:type="dcterms:W3CDTF">2020-12-16T20:03:00Z</dcterms:modified>
</cp:coreProperties>
</file>